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6915" w14:textId="4100F8CA" w:rsidR="00234603" w:rsidRPr="0085181F" w:rsidRDefault="00D86FA6" w:rsidP="00234603">
      <w:pPr>
        <w:spacing w:after="0" w:line="276" w:lineRule="auto"/>
        <w:ind w:left="2880"/>
        <w:rPr>
          <w:rFonts w:ascii="Calibri" w:eastAsia="Times New Roman" w:hAnsi="Calibri" w:cs="Calibri"/>
          <w:b/>
          <w:i/>
          <w:color w:val="336699"/>
          <w:sz w:val="44"/>
          <w:szCs w:val="44"/>
        </w:rPr>
      </w:pPr>
      <w:r w:rsidRPr="00400971">
        <w:rPr>
          <w:rFonts w:ascii="Calibri" w:eastAsia="Times New Roman" w:hAnsi="Calibri" w:cs="Calibri"/>
          <w:i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5D5547A1" wp14:editId="7A6A6D8D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2310765" cy="751205"/>
            <wp:effectExtent l="0" t="0" r="0" b="0"/>
            <wp:wrapSquare wrapText="bothSides"/>
            <wp:docPr id="2062705369" name="Picture 2062705369" descr="Wisconsin Technical College 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isconsin Technical College Syste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603" w:rsidRPr="0085181F">
        <w:rPr>
          <w:rFonts w:ascii="Calibri" w:eastAsia="Times New Roman" w:hAnsi="Calibri" w:cs="Calibri"/>
          <w:b/>
          <w:i/>
          <w:color w:val="336699"/>
          <w:sz w:val="44"/>
          <w:szCs w:val="44"/>
        </w:rPr>
        <w:t xml:space="preserve">HEAB: WTCS Wisconsin Grants </w:t>
      </w:r>
    </w:p>
    <w:p w14:paraId="3434181B" w14:textId="0F7FE3EA" w:rsidR="00234603" w:rsidRPr="0085181F" w:rsidRDefault="00234603" w:rsidP="00D86FA6">
      <w:pPr>
        <w:spacing w:after="240" w:line="276" w:lineRule="auto"/>
        <w:ind w:left="2880"/>
        <w:rPr>
          <w:rFonts w:ascii="Calibri" w:eastAsia="Times New Roman" w:hAnsi="Calibri" w:cs="Calibri"/>
          <w:sz w:val="36"/>
          <w:szCs w:val="36"/>
        </w:rPr>
      </w:pPr>
      <w:r w:rsidRPr="0085181F">
        <w:rPr>
          <w:rFonts w:ascii="Calibri" w:eastAsia="Times New Roman" w:hAnsi="Calibri" w:cs="Calibri"/>
          <w:sz w:val="36"/>
          <w:szCs w:val="36"/>
        </w:rPr>
        <w:t>20</w:t>
      </w:r>
      <w:r>
        <w:rPr>
          <w:rFonts w:ascii="Calibri" w:eastAsia="Times New Roman" w:hAnsi="Calibri" w:cs="Calibri"/>
          <w:sz w:val="36"/>
          <w:szCs w:val="36"/>
        </w:rPr>
        <w:t>2</w:t>
      </w:r>
      <w:r w:rsidR="000B68CC">
        <w:rPr>
          <w:rFonts w:ascii="Calibri" w:eastAsia="Times New Roman" w:hAnsi="Calibri" w:cs="Calibri"/>
          <w:sz w:val="36"/>
          <w:szCs w:val="36"/>
        </w:rPr>
        <w:t>5</w:t>
      </w:r>
      <w:r w:rsidRPr="0085181F">
        <w:rPr>
          <w:rFonts w:ascii="Calibri" w:eastAsia="Times New Roman" w:hAnsi="Calibri" w:cs="Calibri"/>
          <w:sz w:val="36"/>
          <w:szCs w:val="36"/>
        </w:rPr>
        <w:t>-2</w:t>
      </w:r>
      <w:r w:rsidR="000B68CC">
        <w:rPr>
          <w:rFonts w:ascii="Calibri" w:eastAsia="Times New Roman" w:hAnsi="Calibri" w:cs="Calibri"/>
          <w:sz w:val="36"/>
          <w:szCs w:val="36"/>
        </w:rPr>
        <w:t>7</w:t>
      </w:r>
      <w:r w:rsidRPr="0085181F">
        <w:rPr>
          <w:rFonts w:ascii="Calibri" w:eastAsia="Times New Roman" w:hAnsi="Calibri" w:cs="Calibri"/>
          <w:sz w:val="36"/>
          <w:szCs w:val="36"/>
        </w:rPr>
        <w:t xml:space="preserve"> Biennial Budget Initiative</w:t>
      </w:r>
    </w:p>
    <w:p w14:paraId="598CA014" w14:textId="6C026C5D" w:rsidR="00955767" w:rsidRPr="00955767" w:rsidRDefault="00234603" w:rsidP="00234603">
      <w:pPr>
        <w:keepNext/>
        <w:keepLines/>
        <w:pBdr>
          <w:top w:val="single" w:sz="8" w:space="1" w:color="4F81BD"/>
        </w:pBdr>
        <w:spacing w:before="480" w:after="0" w:line="276" w:lineRule="auto"/>
        <w:outlineLvl w:val="0"/>
        <w:rPr>
          <w:rFonts w:ascii="Calibri" w:eastAsia="Times New Roman" w:hAnsi="Calibri" w:cs="Times New Roman"/>
          <w:b/>
          <w:bCs/>
          <w:i/>
          <w:iCs/>
          <w:color w:val="365F91"/>
          <w:sz w:val="32"/>
          <w:szCs w:val="28"/>
        </w:rPr>
      </w:pPr>
      <w:r w:rsidRPr="0085181F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>Issue: Wisconsin Grant</w:t>
      </w:r>
      <w:r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>s</w:t>
      </w:r>
      <w:r w:rsidRPr="0085181F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 xml:space="preserve"> - Technical </w:t>
      </w:r>
      <w:r w:rsidR="001F7BC5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>C</w:t>
      </w:r>
      <w:r w:rsidRPr="0085181F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>olleges</w:t>
      </w:r>
      <w:r w:rsidR="00955767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 xml:space="preserve"> – </w:t>
      </w:r>
      <w:r w:rsidR="00955767">
        <w:rPr>
          <w:rFonts w:ascii="Calibri" w:eastAsia="Times New Roman" w:hAnsi="Calibri" w:cs="Times New Roman"/>
          <w:b/>
          <w:bCs/>
          <w:i/>
          <w:iCs/>
          <w:color w:val="365F91"/>
          <w:sz w:val="32"/>
          <w:szCs w:val="28"/>
        </w:rPr>
        <w:t>Meeting the Need of Wisconsin Technical College Students</w:t>
      </w:r>
    </w:p>
    <w:p w14:paraId="3E60BA14" w14:textId="088ECF13" w:rsidR="00A412FD" w:rsidRPr="00D86FA6" w:rsidRDefault="006F2C84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Wisconsin Grants</w:t>
      </w:r>
      <w:r w:rsidR="009C4177">
        <w:rPr>
          <w:rFonts w:ascii="Calibri" w:eastAsia="Times New Roman" w:hAnsi="Calibri" w:cs="Calibri"/>
        </w:rPr>
        <w:t xml:space="preserve">, the </w:t>
      </w:r>
      <w:r>
        <w:rPr>
          <w:rFonts w:ascii="Calibri" w:eastAsia="Times New Roman" w:hAnsi="Calibri" w:cs="Calibri"/>
        </w:rPr>
        <w:t>state’s largest needs-based financial aid program</w:t>
      </w:r>
      <w:r w:rsidR="009E61C0">
        <w:rPr>
          <w:rFonts w:ascii="Calibri" w:eastAsia="Times New Roman" w:hAnsi="Calibri" w:cs="Calibri"/>
        </w:rPr>
        <w:t>,</w:t>
      </w:r>
      <w:r w:rsidR="00E565D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provides students with the necessary assistance to pursue a higher education credential with the objective </w:t>
      </w:r>
      <w:r w:rsidR="00DB0AD6">
        <w:rPr>
          <w:rFonts w:ascii="Calibri" w:eastAsia="Times New Roman" w:hAnsi="Calibri" w:cs="Calibri"/>
        </w:rPr>
        <w:t xml:space="preserve">of </w:t>
      </w:r>
      <w:r w:rsidR="009C4177">
        <w:rPr>
          <w:rFonts w:ascii="Calibri" w:eastAsia="Times New Roman" w:hAnsi="Calibri" w:cs="Calibri"/>
        </w:rPr>
        <w:t xml:space="preserve">entering or improving their </w:t>
      </w:r>
      <w:r w:rsidR="00417AF3">
        <w:rPr>
          <w:rFonts w:ascii="Calibri" w:eastAsia="Times New Roman" w:hAnsi="Calibri" w:cs="Calibri"/>
        </w:rPr>
        <w:t>career</w:t>
      </w:r>
      <w:r w:rsidR="009C4177">
        <w:rPr>
          <w:rFonts w:ascii="Calibri" w:eastAsia="Times New Roman" w:hAnsi="Calibri" w:cs="Calibri"/>
        </w:rPr>
        <w:t xml:space="preserve"> in the workforce. </w:t>
      </w:r>
      <w:r w:rsidR="00B7321C">
        <w:rPr>
          <w:rFonts w:ascii="Calibri" w:eastAsia="Times New Roman" w:hAnsi="Calibri" w:cs="Calibri"/>
        </w:rPr>
        <w:t xml:space="preserve">During the 2023-24 </w:t>
      </w:r>
      <w:r w:rsidR="0072461B">
        <w:rPr>
          <w:rFonts w:ascii="Calibri" w:eastAsia="Times New Roman" w:hAnsi="Calibri" w:cs="Calibri"/>
        </w:rPr>
        <w:t>Fiscal</w:t>
      </w:r>
      <w:r w:rsidR="00B7321C">
        <w:rPr>
          <w:rFonts w:ascii="Calibri" w:eastAsia="Times New Roman" w:hAnsi="Calibri" w:cs="Calibri"/>
        </w:rPr>
        <w:t xml:space="preserve"> Year</w:t>
      </w:r>
      <w:r w:rsidR="0072461B">
        <w:rPr>
          <w:rFonts w:ascii="Calibri" w:eastAsia="Times New Roman" w:hAnsi="Calibri" w:cs="Calibri"/>
        </w:rPr>
        <w:t xml:space="preserve"> (FY)</w:t>
      </w:r>
      <w:r w:rsidR="00B7321C">
        <w:rPr>
          <w:rFonts w:ascii="Calibri" w:eastAsia="Times New Roman" w:hAnsi="Calibri" w:cs="Calibri"/>
        </w:rPr>
        <w:t>, the Wisconsin Technical College System</w:t>
      </w:r>
      <w:r w:rsidR="001D4DF2">
        <w:rPr>
          <w:rFonts w:ascii="Calibri" w:eastAsia="Times New Roman" w:hAnsi="Calibri" w:cs="Calibri"/>
        </w:rPr>
        <w:t xml:space="preserve"> (WTCS)</w:t>
      </w:r>
      <w:r w:rsidR="00B7321C">
        <w:rPr>
          <w:rFonts w:ascii="Calibri" w:eastAsia="Times New Roman" w:hAnsi="Calibri" w:cs="Calibri"/>
        </w:rPr>
        <w:t xml:space="preserve"> experienced </w:t>
      </w:r>
      <w:r w:rsidR="00A52993">
        <w:rPr>
          <w:rFonts w:ascii="Calibri" w:eastAsia="Times New Roman" w:hAnsi="Calibri" w:cs="Calibri"/>
        </w:rPr>
        <w:t xml:space="preserve">the </w:t>
      </w:r>
      <w:r w:rsidR="00B7321C">
        <w:rPr>
          <w:rFonts w:ascii="Calibri" w:eastAsia="Times New Roman" w:hAnsi="Calibri" w:cs="Calibri"/>
        </w:rPr>
        <w:t>first waiting list in over ten years and</w:t>
      </w:r>
      <w:r w:rsidR="00E565D5">
        <w:rPr>
          <w:rFonts w:ascii="Calibri" w:eastAsia="Times New Roman" w:hAnsi="Calibri" w:cs="Calibri"/>
        </w:rPr>
        <w:t xml:space="preserve"> is projecting </w:t>
      </w:r>
      <w:r w:rsidR="0052336C">
        <w:rPr>
          <w:rFonts w:ascii="Calibri" w:eastAsia="Times New Roman" w:hAnsi="Calibri" w:cs="Calibri"/>
        </w:rPr>
        <w:t>a larger</w:t>
      </w:r>
      <w:r w:rsidR="00E565D5">
        <w:rPr>
          <w:rFonts w:ascii="Calibri" w:eastAsia="Times New Roman" w:hAnsi="Calibri" w:cs="Calibri"/>
        </w:rPr>
        <w:t xml:space="preserve"> waitlist for the 2024-25</w:t>
      </w:r>
      <w:r w:rsidR="0072461B">
        <w:rPr>
          <w:rFonts w:ascii="Calibri" w:eastAsia="Times New Roman" w:hAnsi="Calibri" w:cs="Calibri"/>
        </w:rPr>
        <w:t xml:space="preserve"> FY</w:t>
      </w:r>
      <w:r w:rsidR="00E565D5">
        <w:rPr>
          <w:rFonts w:ascii="Calibri" w:eastAsia="Times New Roman" w:hAnsi="Calibri" w:cs="Calibri"/>
        </w:rPr>
        <w:t xml:space="preserve"> due to</w:t>
      </w:r>
      <w:r w:rsidR="00DB0AD6">
        <w:rPr>
          <w:rFonts w:ascii="Calibri" w:eastAsia="Times New Roman" w:hAnsi="Calibri" w:cs="Calibri"/>
        </w:rPr>
        <w:t xml:space="preserve"> an increase in student need</w:t>
      </w:r>
      <w:r w:rsidR="00E565D5">
        <w:rPr>
          <w:rFonts w:ascii="Calibri" w:eastAsia="Times New Roman" w:hAnsi="Calibri" w:cs="Calibri"/>
        </w:rPr>
        <w:t>.</w:t>
      </w:r>
    </w:p>
    <w:p w14:paraId="5B376B7E" w14:textId="51A71123" w:rsidR="00234603" w:rsidRPr="0085181F" w:rsidRDefault="00234603" w:rsidP="00A412FD">
      <w:pPr>
        <w:keepNext/>
        <w:keepLines/>
        <w:pBdr>
          <w:top w:val="single" w:sz="8" w:space="1" w:color="4F81BD"/>
        </w:pBd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</w:pPr>
      <w:r w:rsidRPr="0085181F">
        <w:rPr>
          <w:rFonts w:ascii="Calibri" w:eastAsia="Times New Roman" w:hAnsi="Calibri" w:cs="Times New Roman"/>
          <w:b/>
          <w:bCs/>
          <w:color w:val="365F91"/>
          <w:sz w:val="32"/>
          <w:szCs w:val="28"/>
        </w:rPr>
        <w:t>Background</w:t>
      </w:r>
    </w:p>
    <w:p w14:paraId="6A3604B3" w14:textId="2E84FB68" w:rsidR="00774EBC" w:rsidRDefault="00774EBC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</w:t>
      </w:r>
      <w:r w:rsidRPr="00774EBC">
        <w:rPr>
          <w:rFonts w:ascii="Calibri" w:eastAsia="Times New Roman" w:hAnsi="Calibri" w:cs="Calibri"/>
        </w:rPr>
        <w:t>or the most recent</w:t>
      </w:r>
      <w:r w:rsidR="009D5C7E">
        <w:rPr>
          <w:rFonts w:ascii="Calibri" w:eastAsia="Times New Roman" w:hAnsi="Calibri" w:cs="Calibri"/>
        </w:rPr>
        <w:t xml:space="preserve"> F</w:t>
      </w:r>
      <w:r w:rsidRPr="00774EBC">
        <w:rPr>
          <w:rFonts w:ascii="Calibri" w:eastAsia="Times New Roman" w:hAnsi="Calibri" w:cs="Calibri"/>
        </w:rPr>
        <w:t xml:space="preserve">Y, the Higher Educational Aids Board (HEAB), the state agency responsible for administering financial aid, determined WTCS expended all the appropriated funds for FY 2023-24, used $3 million from the next FY to cover all student committed awards and had a </w:t>
      </w:r>
      <w:r w:rsidRPr="00B738CB">
        <w:rPr>
          <w:rFonts w:ascii="Calibri" w:eastAsia="Times New Roman" w:hAnsi="Calibri" w:cs="Calibri"/>
        </w:rPr>
        <w:t>waitlist</w:t>
      </w:r>
      <w:r w:rsidR="00B738CB">
        <w:rPr>
          <w:rFonts w:ascii="Calibri" w:eastAsia="Times New Roman" w:hAnsi="Calibri" w:cs="Calibri"/>
        </w:rPr>
        <w:t xml:space="preserve"> of </w:t>
      </w:r>
      <w:r w:rsidR="00676494" w:rsidRPr="00B738CB">
        <w:rPr>
          <w:rFonts w:ascii="Calibri" w:eastAsia="Times New Roman" w:hAnsi="Calibri" w:cs="Calibri"/>
        </w:rPr>
        <w:t>3,</w:t>
      </w:r>
      <w:r w:rsidR="00B738CB" w:rsidRPr="00B738CB">
        <w:rPr>
          <w:rFonts w:ascii="Calibri" w:eastAsia="Times New Roman" w:hAnsi="Calibri" w:cs="Calibri"/>
        </w:rPr>
        <w:t>200</w:t>
      </w:r>
      <w:r w:rsidRPr="00B738CB">
        <w:rPr>
          <w:rFonts w:ascii="Calibri" w:eastAsia="Times New Roman" w:hAnsi="Calibri" w:cs="Calibri"/>
        </w:rPr>
        <w:t xml:space="preserve"> students</w:t>
      </w:r>
      <w:r w:rsidRPr="00774EBC">
        <w:rPr>
          <w:rFonts w:ascii="Calibri" w:eastAsia="Times New Roman" w:hAnsi="Calibri" w:cs="Calibri"/>
        </w:rPr>
        <w:t xml:space="preserve">. Students who received </w:t>
      </w:r>
      <w:r w:rsidR="00FA4E07">
        <w:rPr>
          <w:rFonts w:ascii="Calibri" w:eastAsia="Times New Roman" w:hAnsi="Calibri" w:cs="Calibri"/>
        </w:rPr>
        <w:t>a grant</w:t>
      </w:r>
      <w:r w:rsidRPr="00774EBC">
        <w:rPr>
          <w:rFonts w:ascii="Calibri" w:eastAsia="Times New Roman" w:hAnsi="Calibri" w:cs="Calibri"/>
        </w:rPr>
        <w:t xml:space="preserve"> during the academic year had a higher calculated need than in previous </w:t>
      </w:r>
      <w:r w:rsidR="009D5C7E">
        <w:rPr>
          <w:rFonts w:ascii="Calibri" w:eastAsia="Times New Roman" w:hAnsi="Calibri" w:cs="Calibri"/>
        </w:rPr>
        <w:t>F</w:t>
      </w:r>
      <w:r w:rsidRPr="00774EBC">
        <w:rPr>
          <w:rFonts w:ascii="Calibri" w:eastAsia="Times New Roman" w:hAnsi="Calibri" w:cs="Calibri"/>
        </w:rPr>
        <w:t>Ys, which resulted in more students receiving larger grant award amounts.</w:t>
      </w:r>
      <w:r w:rsidR="00746E66">
        <w:rPr>
          <w:rFonts w:ascii="Calibri" w:eastAsia="Times New Roman" w:hAnsi="Calibri" w:cs="Calibri"/>
        </w:rPr>
        <w:t xml:space="preserve"> </w:t>
      </w:r>
      <w:r w:rsidR="00F37434">
        <w:rPr>
          <w:rFonts w:ascii="Calibri" w:eastAsia="Times New Roman" w:hAnsi="Calibri" w:cs="Calibri"/>
        </w:rPr>
        <w:t>P</w:t>
      </w:r>
      <w:r w:rsidR="00746E66">
        <w:rPr>
          <w:rFonts w:ascii="Calibri" w:eastAsia="Times New Roman" w:hAnsi="Calibri" w:cs="Calibri"/>
        </w:rPr>
        <w:t>ut simply, WTCS student financial needs have and will continue to increase.</w:t>
      </w:r>
    </w:p>
    <w:p w14:paraId="06BD697D" w14:textId="72F84B2C" w:rsidR="00746E66" w:rsidRDefault="00746E66" w:rsidP="00D86FA6">
      <w:pPr>
        <w:spacing w:after="240" w:line="240" w:lineRule="auto"/>
        <w:rPr>
          <w:rFonts w:ascii="Calibri" w:eastAsia="Times New Roman" w:hAnsi="Calibri" w:cs="Calibri"/>
        </w:rPr>
      </w:pPr>
      <w:r w:rsidRPr="00746E66">
        <w:rPr>
          <w:rFonts w:ascii="Calibri" w:eastAsia="Times New Roman" w:hAnsi="Calibri" w:cs="Calibri"/>
        </w:rPr>
        <w:t xml:space="preserve">In addition to the current waitlist, WTCS is projecting the waitlist to grow significantly in </w:t>
      </w:r>
      <w:r w:rsidR="009D5C7E">
        <w:rPr>
          <w:rFonts w:ascii="Calibri" w:eastAsia="Times New Roman" w:hAnsi="Calibri" w:cs="Calibri"/>
        </w:rPr>
        <w:t>F</w:t>
      </w:r>
      <w:r w:rsidRPr="00746E66">
        <w:rPr>
          <w:rFonts w:ascii="Calibri" w:eastAsia="Times New Roman" w:hAnsi="Calibri" w:cs="Calibri"/>
        </w:rPr>
        <w:t xml:space="preserve">Y 2024-25 due to changes in the federal formula for determining a student’s financial need. WTCS projects an increase of $4.4 million will be needed to cover increased award amounts for current students and new awards for students who will become eligible as a result </w:t>
      </w:r>
      <w:r w:rsidR="00F37434">
        <w:rPr>
          <w:rFonts w:ascii="Calibri" w:eastAsia="Times New Roman" w:hAnsi="Calibri" w:cs="Calibri"/>
        </w:rPr>
        <w:t>of</w:t>
      </w:r>
      <w:r w:rsidR="00F37434" w:rsidRPr="00746E66">
        <w:rPr>
          <w:rFonts w:ascii="Calibri" w:eastAsia="Times New Roman" w:hAnsi="Calibri" w:cs="Calibri"/>
        </w:rPr>
        <w:t xml:space="preserve"> </w:t>
      </w:r>
      <w:r w:rsidRPr="00746E66">
        <w:rPr>
          <w:rFonts w:ascii="Calibri" w:eastAsia="Times New Roman" w:hAnsi="Calibri" w:cs="Calibri"/>
        </w:rPr>
        <w:t>using the new federal methodology.</w:t>
      </w:r>
    </w:p>
    <w:p w14:paraId="67C0C80B" w14:textId="5A66D62B" w:rsidR="00774EBC" w:rsidRDefault="00A52993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WTCS, Wisconsin’s largest higher education system, </w:t>
      </w:r>
      <w:r w:rsidR="002F6C6A">
        <w:rPr>
          <w:rFonts w:ascii="Calibri" w:eastAsia="Times New Roman" w:hAnsi="Calibri" w:cs="Calibri"/>
        </w:rPr>
        <w:t xml:space="preserve">provides education and training to non-traditional and an underserved student population that has higher financial need than the other higher education sectors in the state. </w:t>
      </w:r>
      <w:r w:rsidR="00FA38AC">
        <w:rPr>
          <w:rFonts w:ascii="Calibri" w:eastAsia="Times New Roman" w:hAnsi="Calibri" w:cs="Calibri"/>
        </w:rPr>
        <w:t>As shown in the chart below, a WTCS student has a higher unmet need as compared to the average unmet need of a UW student.</w:t>
      </w:r>
    </w:p>
    <w:p w14:paraId="032DC3A6" w14:textId="7AF83D02" w:rsidR="00A52993" w:rsidRDefault="00FA38AC" w:rsidP="00FA4E0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20497D6D" wp14:editId="271E30D6">
            <wp:extent cx="4800600" cy="2041926"/>
            <wp:effectExtent l="0" t="0" r="0" b="15875"/>
            <wp:docPr id="51676649" name="Chart 1" descr="Chart showing average unmet need from 2012-13 through 2022-23 for WTCS  and UW.">
              <a:extLst xmlns:a="http://schemas.openxmlformats.org/drawingml/2006/main">
                <a:ext uri="{FF2B5EF4-FFF2-40B4-BE49-F238E27FC236}">
                  <a16:creationId xmlns:a16="http://schemas.microsoft.com/office/drawing/2014/main" id="{DC2B4515-18C8-4EF6-AF24-806AEA9EB9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F609F2" w14:textId="77777777" w:rsidR="00A52993" w:rsidRDefault="00A52993" w:rsidP="006532BA">
      <w:pPr>
        <w:spacing w:after="0" w:line="240" w:lineRule="auto"/>
        <w:rPr>
          <w:rFonts w:ascii="Calibri" w:eastAsia="Times New Roman" w:hAnsi="Calibri" w:cs="Calibri"/>
        </w:rPr>
      </w:pPr>
    </w:p>
    <w:p w14:paraId="06B5AD06" w14:textId="477E3778" w:rsidR="002A050D" w:rsidRDefault="002A050D" w:rsidP="00D86FA6">
      <w:pPr>
        <w:spacing w:after="240" w:line="240" w:lineRule="auto"/>
        <w:rPr>
          <w:rFonts w:ascii="Calibri" w:eastAsia="Times New Roman" w:hAnsi="Calibri" w:cs="Calibri"/>
          <w:noProof/>
        </w:rPr>
      </w:pPr>
      <w:r w:rsidRPr="00FA38AC">
        <w:rPr>
          <w:rFonts w:ascii="Calibri" w:eastAsia="Times New Roman" w:hAnsi="Calibri" w:cs="Calibri"/>
          <w:noProof/>
        </w:rPr>
        <w:lastRenderedPageBreak/>
        <w:t xml:space="preserve">Over that same period of time, the Wisconsin Grants appropriation for </w:t>
      </w:r>
      <w:r>
        <w:rPr>
          <w:rFonts w:ascii="Calibri" w:eastAsia="Times New Roman" w:hAnsi="Calibri" w:cs="Calibri"/>
          <w:noProof/>
        </w:rPr>
        <w:t>all three major higher education sectors in the state</w:t>
      </w:r>
      <w:r w:rsidRPr="00FA38AC">
        <w:rPr>
          <w:rFonts w:ascii="Calibri" w:eastAsia="Times New Roman" w:hAnsi="Calibri" w:cs="Calibri"/>
          <w:noProof/>
        </w:rPr>
        <w:t xml:space="preserve"> received </w:t>
      </w:r>
      <w:r w:rsidR="00F37434">
        <w:rPr>
          <w:rFonts w:ascii="Calibri" w:eastAsia="Times New Roman" w:hAnsi="Calibri" w:cs="Calibri"/>
          <w:noProof/>
        </w:rPr>
        <w:t xml:space="preserve">only </w:t>
      </w:r>
      <w:r w:rsidRPr="00FA38AC">
        <w:rPr>
          <w:rFonts w:ascii="Calibri" w:eastAsia="Times New Roman" w:hAnsi="Calibri" w:cs="Calibri"/>
          <w:noProof/>
        </w:rPr>
        <w:t>one increase in continuing funding for the program</w:t>
      </w:r>
      <w:r>
        <w:rPr>
          <w:rFonts w:ascii="Calibri" w:eastAsia="Times New Roman" w:hAnsi="Calibri" w:cs="Calibri"/>
          <w:noProof/>
        </w:rPr>
        <w:t>. WTCS received an increase</w:t>
      </w:r>
      <w:r w:rsidRPr="00FA38AC">
        <w:rPr>
          <w:rFonts w:ascii="Calibri" w:eastAsia="Times New Roman" w:hAnsi="Calibri" w:cs="Calibri"/>
          <w:noProof/>
        </w:rPr>
        <w:t xml:space="preserve"> from $18.8 million to $23 million (22%</w:t>
      </w:r>
      <w:r>
        <w:rPr>
          <w:rFonts w:ascii="Calibri" w:eastAsia="Times New Roman" w:hAnsi="Calibri" w:cs="Calibri"/>
          <w:noProof/>
        </w:rPr>
        <w:t xml:space="preserve"> as shown below</w:t>
      </w:r>
      <w:r w:rsidRPr="00FA38AC">
        <w:rPr>
          <w:rFonts w:ascii="Calibri" w:eastAsia="Times New Roman" w:hAnsi="Calibri" w:cs="Calibri"/>
          <w:noProof/>
        </w:rPr>
        <w:t>) in fiscal year 201</w:t>
      </w:r>
      <w:r>
        <w:rPr>
          <w:rFonts w:ascii="Calibri" w:eastAsia="Times New Roman" w:hAnsi="Calibri" w:cs="Calibri"/>
          <w:noProof/>
        </w:rPr>
        <w:t>7-18</w:t>
      </w:r>
      <w:r w:rsidRPr="00FA38AC">
        <w:rPr>
          <w:rFonts w:ascii="Calibri" w:eastAsia="Times New Roman" w:hAnsi="Calibri" w:cs="Calibri"/>
          <w:noProof/>
        </w:rPr>
        <w:t>.</w:t>
      </w:r>
    </w:p>
    <w:p w14:paraId="42647962" w14:textId="77777777" w:rsidR="002A050D" w:rsidRDefault="002A050D" w:rsidP="002A050D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44A22360" wp14:editId="3D6C6DC0">
            <wp:extent cx="3990975" cy="1860550"/>
            <wp:effectExtent l="0" t="0" r="9525" b="6350"/>
            <wp:docPr id="319510639" name="Picture 3" descr="Chart showing Wisconsin Grant funding since 2012-13 through 2022-23 for WG Appropriations, UWS Appropriations and WAICU Appropri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0639" name="Picture 3" descr="Chart showing Wisconsin Grant funding since 2012-13 through 2022-23 for WG Appropriations, UWS Appropriations and WAICU Appropria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15" cy="190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C522D" w14:textId="77777777" w:rsidR="0039155D" w:rsidRPr="0039155D" w:rsidRDefault="0039155D" w:rsidP="00F74947">
      <w:pPr>
        <w:spacing w:after="240" w:line="240" w:lineRule="auto"/>
        <w:jc w:val="center"/>
        <w:rPr>
          <w:rFonts w:ascii="Calibri" w:eastAsia="Times New Roman" w:hAnsi="Calibri" w:cs="Calibri"/>
          <w:i/>
          <w:iCs/>
        </w:rPr>
      </w:pPr>
      <w:r w:rsidRPr="0039155D">
        <w:rPr>
          <w:rFonts w:ascii="Calibri" w:eastAsia="Times New Roman" w:hAnsi="Calibri" w:cs="Calibri"/>
          <w:i/>
          <w:iCs/>
        </w:rPr>
        <w:t>Note: UWS received $0 in fiscal year 2013-14</w:t>
      </w:r>
    </w:p>
    <w:p w14:paraId="694EEAC6" w14:textId="237B836D" w:rsidR="00FA4E07" w:rsidRDefault="00CB3E70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While the unmet need continues to rise, state investments in Wisconsin Grants has not kept up with the rising costs </w:t>
      </w:r>
      <w:r w:rsidR="00AD77A6">
        <w:rPr>
          <w:rFonts w:ascii="Calibri" w:eastAsia="Times New Roman" w:hAnsi="Calibri" w:cs="Calibri"/>
        </w:rPr>
        <w:t xml:space="preserve">for </w:t>
      </w:r>
      <w:r>
        <w:rPr>
          <w:rFonts w:ascii="Calibri" w:eastAsia="Times New Roman" w:hAnsi="Calibri" w:cs="Calibri"/>
        </w:rPr>
        <w:t xml:space="preserve">students. </w:t>
      </w:r>
      <w:r w:rsidR="00FA38AC">
        <w:rPr>
          <w:rFonts w:ascii="Calibri" w:eastAsia="Times New Roman" w:hAnsi="Calibri" w:cs="Calibri"/>
        </w:rPr>
        <w:t>Between 201</w:t>
      </w:r>
      <w:r w:rsidR="00FA4E07">
        <w:rPr>
          <w:rFonts w:ascii="Calibri" w:eastAsia="Times New Roman" w:hAnsi="Calibri" w:cs="Calibri"/>
        </w:rPr>
        <w:t>2-13 and 2022</w:t>
      </w:r>
      <w:r w:rsidR="00FA38AC">
        <w:rPr>
          <w:rFonts w:ascii="Calibri" w:eastAsia="Times New Roman" w:hAnsi="Calibri" w:cs="Calibri"/>
        </w:rPr>
        <w:t>-23</w:t>
      </w:r>
      <w:r w:rsidR="007B102C">
        <w:rPr>
          <w:rFonts w:ascii="Calibri" w:eastAsia="Times New Roman" w:hAnsi="Calibri" w:cs="Calibri"/>
        </w:rPr>
        <w:t>, the average WTCS student financial need increased from $10,</w:t>
      </w:r>
      <w:r w:rsidR="00560296">
        <w:rPr>
          <w:rFonts w:ascii="Calibri" w:eastAsia="Times New Roman" w:hAnsi="Calibri" w:cs="Calibri"/>
        </w:rPr>
        <w:t>400</w:t>
      </w:r>
      <w:r w:rsidR="007B102C">
        <w:rPr>
          <w:rFonts w:ascii="Calibri" w:eastAsia="Times New Roman" w:hAnsi="Calibri" w:cs="Calibri"/>
        </w:rPr>
        <w:t xml:space="preserve"> to $1</w:t>
      </w:r>
      <w:r w:rsidR="00EA4C4B">
        <w:rPr>
          <w:rFonts w:ascii="Calibri" w:eastAsia="Times New Roman" w:hAnsi="Calibri" w:cs="Calibri"/>
        </w:rPr>
        <w:t>5</w:t>
      </w:r>
      <w:r w:rsidR="007B102C">
        <w:rPr>
          <w:rFonts w:ascii="Calibri" w:eastAsia="Times New Roman" w:hAnsi="Calibri" w:cs="Calibri"/>
        </w:rPr>
        <w:t>,</w:t>
      </w:r>
      <w:r w:rsidR="00EA4C4B">
        <w:rPr>
          <w:rFonts w:ascii="Calibri" w:eastAsia="Times New Roman" w:hAnsi="Calibri" w:cs="Calibri"/>
        </w:rPr>
        <w:t>50</w:t>
      </w:r>
      <w:r w:rsidR="00560296">
        <w:rPr>
          <w:rFonts w:ascii="Calibri" w:eastAsia="Times New Roman" w:hAnsi="Calibri" w:cs="Calibri"/>
        </w:rPr>
        <w:t>0</w:t>
      </w:r>
      <w:r w:rsidR="00FA38AC">
        <w:rPr>
          <w:rFonts w:ascii="Calibri" w:eastAsia="Times New Roman" w:hAnsi="Calibri" w:cs="Calibri"/>
        </w:rPr>
        <w:t>, an increase of 37</w:t>
      </w:r>
      <w:r w:rsidR="00AD77A6">
        <w:rPr>
          <w:rFonts w:ascii="Calibri" w:eastAsia="Times New Roman" w:hAnsi="Calibri" w:cs="Calibri"/>
        </w:rPr>
        <w:t>%</w:t>
      </w:r>
      <w:r w:rsidR="002A050D">
        <w:rPr>
          <w:rFonts w:ascii="Calibri" w:eastAsia="Times New Roman" w:hAnsi="Calibri" w:cs="Calibri"/>
        </w:rPr>
        <w:t xml:space="preserve">, which outpaces the </w:t>
      </w:r>
      <w:r w:rsidR="00F74947">
        <w:rPr>
          <w:rFonts w:ascii="Calibri" w:eastAsia="Times New Roman" w:hAnsi="Calibri" w:cs="Calibri"/>
        </w:rPr>
        <w:t>one-time</w:t>
      </w:r>
      <w:r w:rsidR="002A050D">
        <w:rPr>
          <w:rFonts w:ascii="Calibri" w:eastAsia="Times New Roman" w:hAnsi="Calibri" w:cs="Calibri"/>
        </w:rPr>
        <w:t xml:space="preserve"> increase received over the last ten years</w:t>
      </w:r>
      <w:r w:rsidR="00AD77A6">
        <w:rPr>
          <w:rFonts w:ascii="Calibri" w:eastAsia="Times New Roman" w:hAnsi="Calibri" w:cs="Calibri"/>
        </w:rPr>
        <w:t xml:space="preserve"> as shown in the chart below</w:t>
      </w:r>
      <w:r w:rsidR="007B102C">
        <w:rPr>
          <w:rFonts w:ascii="Calibri" w:eastAsia="Times New Roman" w:hAnsi="Calibri" w:cs="Calibri"/>
        </w:rPr>
        <w:t>.</w:t>
      </w:r>
      <w:r w:rsidR="002A050D" w:rsidRPr="002A050D">
        <w:rPr>
          <w:rFonts w:ascii="Calibri" w:eastAsia="Times New Roman" w:hAnsi="Calibri" w:cs="Calibri"/>
          <w:noProof/>
        </w:rPr>
        <w:t xml:space="preserve"> </w:t>
      </w:r>
      <w:r w:rsidR="002A050D" w:rsidRPr="001D7C5E">
        <w:rPr>
          <w:rFonts w:ascii="Calibri" w:eastAsia="Times New Roman" w:hAnsi="Calibri" w:cs="Calibri"/>
        </w:rPr>
        <w:t xml:space="preserve">As WTCS enrollments continue to increase, student need has also increased significantly, which is the determining factor </w:t>
      </w:r>
      <w:r w:rsidR="00F37434">
        <w:rPr>
          <w:rFonts w:ascii="Calibri" w:eastAsia="Times New Roman" w:hAnsi="Calibri" w:cs="Calibri"/>
        </w:rPr>
        <w:t xml:space="preserve">for </w:t>
      </w:r>
      <w:r w:rsidR="002A050D" w:rsidRPr="001D7C5E">
        <w:rPr>
          <w:rFonts w:ascii="Calibri" w:eastAsia="Times New Roman" w:hAnsi="Calibri" w:cs="Calibri"/>
        </w:rPr>
        <w:t xml:space="preserve">why </w:t>
      </w:r>
      <w:r w:rsidR="00F37434" w:rsidRPr="001D7C5E">
        <w:rPr>
          <w:rFonts w:ascii="Calibri" w:eastAsia="Times New Roman" w:hAnsi="Calibri" w:cs="Calibri"/>
        </w:rPr>
        <w:t xml:space="preserve">WTCS has expended all Wisconsin Grants funding </w:t>
      </w:r>
      <w:r w:rsidR="002A050D" w:rsidRPr="001D7C5E">
        <w:rPr>
          <w:rFonts w:ascii="Calibri" w:eastAsia="Times New Roman" w:hAnsi="Calibri" w:cs="Calibri"/>
        </w:rPr>
        <w:t>in the most recent academic year.</w:t>
      </w:r>
    </w:p>
    <w:p w14:paraId="38E57476" w14:textId="03DC3623" w:rsidR="00FA38AC" w:rsidRDefault="002A050D" w:rsidP="00D86FA6">
      <w:pPr>
        <w:spacing w:after="24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17667F2E" wp14:editId="28456C27">
            <wp:extent cx="4383405" cy="2243455"/>
            <wp:effectExtent l="0" t="0" r="0" b="4445"/>
            <wp:docPr id="789377811" name="Picture 1" descr="A graph showing the Wisconsin Grant increase and student need sinc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77811" name="Picture 1" descr="A graph showing the Wisconsin Grant increase and student need since 20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65A9C" w14:textId="38815AF9" w:rsidR="00E5259C" w:rsidRPr="00E5259C" w:rsidRDefault="00E5259C" w:rsidP="00E5259C">
      <w:pPr>
        <w:spacing w:after="0" w:line="240" w:lineRule="auto"/>
        <w:rPr>
          <w:rFonts w:ascii="Calibri" w:eastAsia="Times New Roman" w:hAnsi="Calibri" w:cs="Calibri"/>
        </w:rPr>
      </w:pPr>
      <w:r w:rsidRPr="00E5259C">
        <w:rPr>
          <w:rFonts w:ascii="Calibri" w:eastAsia="Times New Roman" w:hAnsi="Calibri" w:cs="Calibri"/>
        </w:rPr>
        <w:t xml:space="preserve">WTCS student need is not limited to those who have the highest need or qualify for a maximum grant award. As shown in the chart </w:t>
      </w:r>
      <w:r w:rsidR="00AD77A6">
        <w:rPr>
          <w:rFonts w:ascii="Calibri" w:eastAsia="Times New Roman" w:hAnsi="Calibri" w:cs="Calibri"/>
        </w:rPr>
        <w:t>on the following page</w:t>
      </w:r>
      <w:r w:rsidRPr="00E5259C">
        <w:rPr>
          <w:rFonts w:ascii="Calibri" w:eastAsia="Times New Roman" w:hAnsi="Calibri" w:cs="Calibri"/>
        </w:rPr>
        <w:t>, 72% of the 58,000 students who applied for financial aid qualify for a Wisconsin Grant.</w:t>
      </w:r>
    </w:p>
    <w:p w14:paraId="60724568" w14:textId="32159A75" w:rsidR="00E5259C" w:rsidRDefault="0039155D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72685848" wp14:editId="31B47D0A">
            <wp:extent cx="5053965" cy="2761615"/>
            <wp:effectExtent l="0" t="0" r="0" b="635"/>
            <wp:docPr id="42243855" name="Picture 1" descr="Graph showing the percent of WTCS Applicants who qualify for financial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3855" name="Picture 1" descr="Graph showing the percent of WTCS Applicants who qualify for financial ai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A8174" w14:textId="3C429B41" w:rsidR="00F63909" w:rsidRDefault="003418B1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Historically, WTCS students have had</w:t>
      </w:r>
      <w:r w:rsidR="001D7C5E">
        <w:rPr>
          <w:rFonts w:ascii="Calibri" w:eastAsia="Times New Roman" w:hAnsi="Calibri" w:cs="Calibri"/>
        </w:rPr>
        <w:t xml:space="preserve"> the</w:t>
      </w:r>
      <w:r>
        <w:rPr>
          <w:rFonts w:ascii="Calibri" w:eastAsia="Times New Roman" w:hAnsi="Calibri" w:cs="Calibri"/>
        </w:rPr>
        <w:t xml:space="preserve"> highest need compared to the other major higher education sectors in the state. </w:t>
      </w:r>
      <w:r w:rsidR="00B07153">
        <w:rPr>
          <w:rFonts w:ascii="Calibri" w:eastAsia="Times New Roman" w:hAnsi="Calibri" w:cs="Calibri"/>
        </w:rPr>
        <w:t>As outline</w:t>
      </w:r>
      <w:r w:rsidR="00F63909">
        <w:rPr>
          <w:rFonts w:ascii="Calibri" w:eastAsia="Times New Roman" w:hAnsi="Calibri" w:cs="Calibri"/>
        </w:rPr>
        <w:t>d</w:t>
      </w:r>
      <w:r w:rsidR="00B07153">
        <w:rPr>
          <w:rFonts w:ascii="Calibri" w:eastAsia="Times New Roman" w:hAnsi="Calibri" w:cs="Calibri"/>
        </w:rPr>
        <w:t xml:space="preserve"> in the </w:t>
      </w:r>
      <w:r w:rsidR="00885896">
        <w:rPr>
          <w:rFonts w:ascii="Calibri" w:eastAsia="Times New Roman" w:hAnsi="Calibri" w:cs="Calibri"/>
        </w:rPr>
        <w:t>graph</w:t>
      </w:r>
      <w:r w:rsidR="00B07153">
        <w:rPr>
          <w:rFonts w:ascii="Calibri" w:eastAsia="Times New Roman" w:hAnsi="Calibri" w:cs="Calibri"/>
        </w:rPr>
        <w:t xml:space="preserve"> below, close to</w:t>
      </w:r>
      <w:r w:rsidR="002746D7">
        <w:rPr>
          <w:rFonts w:ascii="Calibri" w:eastAsia="Times New Roman" w:hAnsi="Calibri" w:cs="Calibri"/>
        </w:rPr>
        <w:t xml:space="preserve"> 50% of W</w:t>
      </w:r>
      <w:r w:rsidR="00CB3E70">
        <w:rPr>
          <w:rFonts w:ascii="Calibri" w:eastAsia="Times New Roman" w:hAnsi="Calibri" w:cs="Calibri"/>
        </w:rPr>
        <w:t>TCS</w:t>
      </w:r>
      <w:r w:rsidR="002746D7">
        <w:rPr>
          <w:rFonts w:ascii="Calibri" w:eastAsia="Times New Roman" w:hAnsi="Calibri" w:cs="Calibri"/>
        </w:rPr>
        <w:t xml:space="preserve"> students who apply for financial aid are identified as having the highest financial need and qualify for the maximum award</w:t>
      </w:r>
      <w:r w:rsidR="0020464A">
        <w:rPr>
          <w:rFonts w:ascii="Calibri" w:eastAsia="Times New Roman" w:hAnsi="Calibri" w:cs="Calibri"/>
        </w:rPr>
        <w:t>.</w:t>
      </w:r>
      <w:r w:rsidR="00B07153">
        <w:rPr>
          <w:rFonts w:ascii="Calibri" w:eastAsia="Times New Roman" w:hAnsi="Calibri" w:cs="Calibri"/>
        </w:rPr>
        <w:t xml:space="preserve"> </w:t>
      </w:r>
      <w:r w:rsidR="00F63909" w:rsidRPr="00CB3E70">
        <w:rPr>
          <w:rFonts w:ascii="Calibri" w:eastAsia="Times New Roman" w:hAnsi="Calibri" w:cs="Calibri"/>
        </w:rPr>
        <w:t>This means</w:t>
      </w:r>
      <w:r w:rsidR="00417AF3" w:rsidRPr="00CB3E70">
        <w:rPr>
          <w:rFonts w:ascii="Calibri" w:eastAsia="Times New Roman" w:hAnsi="Calibri" w:cs="Calibri"/>
        </w:rPr>
        <w:t xml:space="preserve"> </w:t>
      </w:r>
      <w:r w:rsidR="00F63909" w:rsidRPr="00CB3E70">
        <w:rPr>
          <w:rFonts w:ascii="Calibri" w:eastAsia="Times New Roman" w:hAnsi="Calibri" w:cs="Calibri"/>
        </w:rPr>
        <w:t>2</w:t>
      </w:r>
      <w:r w:rsidR="00560296">
        <w:rPr>
          <w:rFonts w:ascii="Calibri" w:eastAsia="Times New Roman" w:hAnsi="Calibri" w:cs="Calibri"/>
        </w:rPr>
        <w:t>8</w:t>
      </w:r>
      <w:r w:rsidR="00F63909" w:rsidRPr="00CB3E70">
        <w:rPr>
          <w:rFonts w:ascii="Calibri" w:eastAsia="Times New Roman" w:hAnsi="Calibri" w:cs="Calibri"/>
        </w:rPr>
        <w:t>,</w:t>
      </w:r>
      <w:r w:rsidR="00560296">
        <w:rPr>
          <w:rFonts w:ascii="Calibri" w:eastAsia="Times New Roman" w:hAnsi="Calibri" w:cs="Calibri"/>
        </w:rPr>
        <w:t>000</w:t>
      </w:r>
      <w:r w:rsidR="00656706" w:rsidRPr="00CB3E70">
        <w:rPr>
          <w:rFonts w:ascii="Calibri" w:eastAsia="Times New Roman" w:hAnsi="Calibri" w:cs="Calibri"/>
        </w:rPr>
        <w:t xml:space="preserve"> out of the 58,</w:t>
      </w:r>
      <w:r w:rsidR="00560296">
        <w:rPr>
          <w:rFonts w:ascii="Calibri" w:eastAsia="Times New Roman" w:hAnsi="Calibri" w:cs="Calibri"/>
        </w:rPr>
        <w:t>000</w:t>
      </w:r>
      <w:r w:rsidR="00F63909" w:rsidRPr="00CB3E70">
        <w:rPr>
          <w:rFonts w:ascii="Calibri" w:eastAsia="Times New Roman" w:hAnsi="Calibri" w:cs="Calibri"/>
        </w:rPr>
        <w:t xml:space="preserve"> individuals who </w:t>
      </w:r>
      <w:r w:rsidR="005E4B46" w:rsidRPr="00CB3E70">
        <w:rPr>
          <w:rFonts w:ascii="Calibri" w:eastAsia="Times New Roman" w:hAnsi="Calibri" w:cs="Calibri"/>
        </w:rPr>
        <w:t>completed a FAFSA and selected a</w:t>
      </w:r>
      <w:r w:rsidR="00F63909" w:rsidRPr="00CB3E70">
        <w:rPr>
          <w:rFonts w:ascii="Calibri" w:eastAsia="Times New Roman" w:hAnsi="Calibri" w:cs="Calibri"/>
        </w:rPr>
        <w:t xml:space="preserve"> technical college</w:t>
      </w:r>
      <w:r w:rsidR="005E4B46" w:rsidRPr="00CB3E70">
        <w:rPr>
          <w:rFonts w:ascii="Calibri" w:eastAsia="Times New Roman" w:hAnsi="Calibri" w:cs="Calibri"/>
        </w:rPr>
        <w:t xml:space="preserve"> as their first choice</w:t>
      </w:r>
      <w:r w:rsidR="00F63909" w:rsidRPr="00CB3E70">
        <w:rPr>
          <w:rFonts w:ascii="Calibri" w:eastAsia="Times New Roman" w:hAnsi="Calibri" w:cs="Calibri"/>
        </w:rPr>
        <w:t xml:space="preserve"> would have $0 to contribute to their college education</w:t>
      </w:r>
      <w:r w:rsidR="00F74947">
        <w:rPr>
          <w:rFonts w:ascii="Calibri" w:eastAsia="Times New Roman" w:hAnsi="Calibri" w:cs="Calibri"/>
        </w:rPr>
        <w:t>.</w:t>
      </w:r>
    </w:p>
    <w:p w14:paraId="72A76F97" w14:textId="3E241E17" w:rsidR="00186991" w:rsidRDefault="00A9587B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0AA32409" wp14:editId="181C384D">
            <wp:extent cx="5676900" cy="2305685"/>
            <wp:effectExtent l="0" t="0" r="0" b="18415"/>
            <wp:docPr id="3034624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65B359-DDB2-4CFC-872F-6F30BB6F5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11CFAF" w14:textId="0ECAE7A8" w:rsidR="00BA2CAC" w:rsidRDefault="00E7544F" w:rsidP="00D86FA6">
      <w:pPr>
        <w:spacing w:after="24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is imperative the state continues to invest in WTCS students t</w:t>
      </w:r>
      <w:r w:rsidR="00BA2CAC">
        <w:rPr>
          <w:rFonts w:ascii="Calibri" w:eastAsia="Times New Roman" w:hAnsi="Calibri" w:cs="Calibri"/>
        </w:rPr>
        <w:t xml:space="preserve">o ensure WTCS </w:t>
      </w:r>
      <w:proofErr w:type="gramStart"/>
      <w:r w:rsidR="001D7C5E">
        <w:rPr>
          <w:rFonts w:ascii="Calibri" w:eastAsia="Times New Roman" w:hAnsi="Calibri" w:cs="Calibri"/>
        </w:rPr>
        <w:t>h</w:t>
      </w:r>
      <w:r w:rsidR="00BA2CAC">
        <w:rPr>
          <w:rFonts w:ascii="Calibri" w:eastAsia="Times New Roman" w:hAnsi="Calibri" w:cs="Calibri"/>
        </w:rPr>
        <w:t>as the ability to</w:t>
      </w:r>
      <w:proofErr w:type="gramEnd"/>
      <w:r w:rsidR="00BA2CAC">
        <w:rPr>
          <w:rFonts w:ascii="Calibri" w:eastAsia="Times New Roman" w:hAnsi="Calibri" w:cs="Calibri"/>
        </w:rPr>
        <w:t xml:space="preserve"> provide quality education and training to all who are willing and able to gain a credential so they may enter the workforce</w:t>
      </w:r>
      <w:r w:rsidR="00DF22B8">
        <w:rPr>
          <w:rFonts w:ascii="Calibri" w:eastAsia="Times New Roman" w:hAnsi="Calibri" w:cs="Calibri"/>
        </w:rPr>
        <w:t>.</w:t>
      </w:r>
    </w:p>
    <w:p w14:paraId="7D45BF6F" w14:textId="77777777" w:rsidR="00D86FA6" w:rsidRDefault="00D86FA6" w:rsidP="00D86FA6">
      <w:pPr>
        <w:pStyle w:val="Heading1"/>
        <w:spacing w:before="240" w:after="0"/>
      </w:pPr>
      <w:r w:rsidRPr="39430CE5">
        <w:t>Request</w:t>
      </w:r>
    </w:p>
    <w:p w14:paraId="74BBD246" w14:textId="38A40D77" w:rsidR="00AC328C" w:rsidRPr="00AC328C" w:rsidRDefault="00BA2CAC" w:rsidP="00114CE9">
      <w:pPr>
        <w:spacing w:after="0" w:line="240" w:lineRule="auto"/>
        <w:rPr>
          <w:rFonts w:ascii="Calibri" w:eastAsia="Times New Roman" w:hAnsi="Calibri" w:cs="Calibri"/>
          <w:b/>
          <w:bCs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$</w:t>
      </w:r>
      <w:r w:rsidR="009D5C7E">
        <w:rPr>
          <w:rFonts w:ascii="Calibri" w:eastAsia="Times New Roman" w:hAnsi="Calibri" w:cs="Calibri"/>
          <w:b/>
          <w:bCs/>
          <w:szCs w:val="24"/>
        </w:rPr>
        <w:t>10</w:t>
      </w:r>
      <w:r w:rsidR="0010748F">
        <w:rPr>
          <w:rFonts w:ascii="Calibri" w:eastAsia="Times New Roman" w:hAnsi="Calibri" w:cs="Calibri"/>
          <w:b/>
          <w:bCs/>
          <w:szCs w:val="24"/>
        </w:rPr>
        <w:t>.8</w:t>
      </w:r>
      <w:r w:rsidR="009D5C7E">
        <w:rPr>
          <w:rFonts w:ascii="Calibri" w:eastAsia="Times New Roman" w:hAnsi="Calibri" w:cs="Calibri"/>
          <w:b/>
          <w:bCs/>
          <w:szCs w:val="24"/>
        </w:rPr>
        <w:t xml:space="preserve"> </w:t>
      </w:r>
      <w:proofErr w:type="gramStart"/>
      <w:r w:rsidR="009D5C7E">
        <w:rPr>
          <w:rFonts w:ascii="Calibri" w:eastAsia="Times New Roman" w:hAnsi="Calibri" w:cs="Calibri"/>
          <w:b/>
          <w:bCs/>
          <w:szCs w:val="24"/>
        </w:rPr>
        <w:t>million</w:t>
      </w:r>
      <w:r>
        <w:rPr>
          <w:rFonts w:ascii="Calibri" w:eastAsia="Times New Roman" w:hAnsi="Calibri" w:cs="Calibri"/>
          <w:b/>
          <w:bCs/>
          <w:szCs w:val="24"/>
        </w:rPr>
        <w:t xml:space="preserve"> in</w:t>
      </w:r>
      <w:proofErr w:type="gramEnd"/>
      <w:r>
        <w:rPr>
          <w:rFonts w:ascii="Calibri" w:eastAsia="Times New Roman" w:hAnsi="Calibri" w:cs="Calibri"/>
          <w:b/>
          <w:bCs/>
          <w:szCs w:val="24"/>
        </w:rPr>
        <w:t xml:space="preserve"> each year of the biennium to meet the projected waitlist of students and to meet the increase in award amounts based on the rising financial need of WTCS students.</w:t>
      </w:r>
    </w:p>
    <w:sectPr w:rsidR="00AC328C" w:rsidRPr="00AC328C" w:rsidSect="00746E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10" w:right="1440" w:bottom="990" w:left="1440" w:header="720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A2CB" w14:textId="77777777" w:rsidR="00234603" w:rsidRDefault="00234603" w:rsidP="00234603">
      <w:pPr>
        <w:spacing w:after="0" w:line="240" w:lineRule="auto"/>
      </w:pPr>
      <w:r>
        <w:separator/>
      </w:r>
    </w:p>
  </w:endnote>
  <w:endnote w:type="continuationSeparator" w:id="0">
    <w:p w14:paraId="393BDA87" w14:textId="77777777" w:rsidR="00234603" w:rsidRDefault="00234603" w:rsidP="0023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BE21" w14:textId="77777777" w:rsidR="00186991" w:rsidRDefault="0018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4054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0F32B" w14:textId="188CEA07" w:rsidR="00AD3320" w:rsidRDefault="00AD3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4C4F6" w14:textId="5486890A" w:rsidR="00234603" w:rsidRDefault="00AD3320" w:rsidP="00AD3320">
    <w:pPr>
      <w:pStyle w:val="Footer"/>
      <w:tabs>
        <w:tab w:val="clear" w:pos="4680"/>
        <w:tab w:val="clear" w:pos="9360"/>
        <w:tab w:val="left" w:pos="349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BA6C" w14:textId="77777777" w:rsidR="00186991" w:rsidRDefault="0018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87D1" w14:textId="77777777" w:rsidR="00234603" w:rsidRDefault="00234603" w:rsidP="00234603">
      <w:pPr>
        <w:spacing w:after="0" w:line="240" w:lineRule="auto"/>
      </w:pPr>
      <w:r>
        <w:separator/>
      </w:r>
    </w:p>
  </w:footnote>
  <w:footnote w:type="continuationSeparator" w:id="0">
    <w:p w14:paraId="26ABE8B2" w14:textId="77777777" w:rsidR="00234603" w:rsidRDefault="00234603" w:rsidP="0023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B54C" w14:textId="77777777" w:rsidR="00186991" w:rsidRDefault="0018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1267" w14:textId="0353724E" w:rsidR="00234603" w:rsidRDefault="00234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A8EE" w14:textId="77777777" w:rsidR="00186991" w:rsidRDefault="0018699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B85"/>
    <w:multiLevelType w:val="hybridMultilevel"/>
    <w:tmpl w:val="17AC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897"/>
    <w:multiLevelType w:val="hybridMultilevel"/>
    <w:tmpl w:val="88664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10344"/>
    <w:multiLevelType w:val="hybridMultilevel"/>
    <w:tmpl w:val="0CA20A4A"/>
    <w:lvl w:ilvl="0" w:tplc="1B303FA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D30BB"/>
    <w:multiLevelType w:val="hybridMultilevel"/>
    <w:tmpl w:val="6080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091C"/>
    <w:multiLevelType w:val="hybridMultilevel"/>
    <w:tmpl w:val="2E8E8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FB1"/>
    <w:multiLevelType w:val="hybridMultilevel"/>
    <w:tmpl w:val="8E90C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12F4F"/>
    <w:multiLevelType w:val="hybridMultilevel"/>
    <w:tmpl w:val="45A2E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4385"/>
    <w:multiLevelType w:val="hybridMultilevel"/>
    <w:tmpl w:val="208AD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74D6"/>
    <w:multiLevelType w:val="hybridMultilevel"/>
    <w:tmpl w:val="B3682B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343000">
    <w:abstractNumId w:val="8"/>
  </w:num>
  <w:num w:numId="2" w16cid:durableId="1021279194">
    <w:abstractNumId w:val="2"/>
  </w:num>
  <w:num w:numId="3" w16cid:durableId="712923069">
    <w:abstractNumId w:val="1"/>
  </w:num>
  <w:num w:numId="4" w16cid:durableId="748774722">
    <w:abstractNumId w:val="6"/>
  </w:num>
  <w:num w:numId="5" w16cid:durableId="67850914">
    <w:abstractNumId w:val="4"/>
  </w:num>
  <w:num w:numId="6" w16cid:durableId="435714392">
    <w:abstractNumId w:val="7"/>
  </w:num>
  <w:num w:numId="7" w16cid:durableId="1734043189">
    <w:abstractNumId w:val="5"/>
  </w:num>
  <w:num w:numId="8" w16cid:durableId="400908003">
    <w:abstractNumId w:val="0"/>
  </w:num>
  <w:num w:numId="9" w16cid:durableId="40399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3"/>
    <w:rsid w:val="0002114A"/>
    <w:rsid w:val="00021B45"/>
    <w:rsid w:val="00033B1A"/>
    <w:rsid w:val="00045002"/>
    <w:rsid w:val="00046505"/>
    <w:rsid w:val="0007549A"/>
    <w:rsid w:val="0007602C"/>
    <w:rsid w:val="00076097"/>
    <w:rsid w:val="0008126B"/>
    <w:rsid w:val="00092E5F"/>
    <w:rsid w:val="00095CDA"/>
    <w:rsid w:val="00096EA2"/>
    <w:rsid w:val="000B3976"/>
    <w:rsid w:val="000B6165"/>
    <w:rsid w:val="000B68CC"/>
    <w:rsid w:val="000C0636"/>
    <w:rsid w:val="000D31C5"/>
    <w:rsid w:val="000D54A1"/>
    <w:rsid w:val="000E25DD"/>
    <w:rsid w:val="000F40FA"/>
    <w:rsid w:val="000F7C04"/>
    <w:rsid w:val="001017EF"/>
    <w:rsid w:val="00106C30"/>
    <w:rsid w:val="0010748F"/>
    <w:rsid w:val="00114CE9"/>
    <w:rsid w:val="00120D73"/>
    <w:rsid w:val="00121CE4"/>
    <w:rsid w:val="001265E2"/>
    <w:rsid w:val="001503D5"/>
    <w:rsid w:val="00155C89"/>
    <w:rsid w:val="00175F9D"/>
    <w:rsid w:val="00185FE7"/>
    <w:rsid w:val="00186991"/>
    <w:rsid w:val="00187955"/>
    <w:rsid w:val="00192E22"/>
    <w:rsid w:val="00193323"/>
    <w:rsid w:val="00195D28"/>
    <w:rsid w:val="001A310B"/>
    <w:rsid w:val="001B4AA6"/>
    <w:rsid w:val="001B52B0"/>
    <w:rsid w:val="001C1C30"/>
    <w:rsid w:val="001D4DF2"/>
    <w:rsid w:val="001D7C5E"/>
    <w:rsid w:val="001E1389"/>
    <w:rsid w:val="001E37A0"/>
    <w:rsid w:val="001F2D73"/>
    <w:rsid w:val="001F74EE"/>
    <w:rsid w:val="001F7BC5"/>
    <w:rsid w:val="002043D3"/>
    <w:rsid w:val="0020464A"/>
    <w:rsid w:val="00214CC0"/>
    <w:rsid w:val="00216A2D"/>
    <w:rsid w:val="00220F85"/>
    <w:rsid w:val="00232A83"/>
    <w:rsid w:val="00234603"/>
    <w:rsid w:val="00237D42"/>
    <w:rsid w:val="002746D7"/>
    <w:rsid w:val="002A050D"/>
    <w:rsid w:val="002A5A19"/>
    <w:rsid w:val="002A724B"/>
    <w:rsid w:val="002B0C49"/>
    <w:rsid w:val="002F6C6A"/>
    <w:rsid w:val="00311D0D"/>
    <w:rsid w:val="0033045D"/>
    <w:rsid w:val="003418B1"/>
    <w:rsid w:val="00347353"/>
    <w:rsid w:val="00363C2F"/>
    <w:rsid w:val="00375666"/>
    <w:rsid w:val="0039155D"/>
    <w:rsid w:val="003A1B7E"/>
    <w:rsid w:val="003B2051"/>
    <w:rsid w:val="003B29D8"/>
    <w:rsid w:val="003B347E"/>
    <w:rsid w:val="003C23AC"/>
    <w:rsid w:val="003E1D2B"/>
    <w:rsid w:val="003E4EAD"/>
    <w:rsid w:val="00407AFE"/>
    <w:rsid w:val="00412372"/>
    <w:rsid w:val="00417AF3"/>
    <w:rsid w:val="00420F22"/>
    <w:rsid w:val="00466B77"/>
    <w:rsid w:val="00473B4B"/>
    <w:rsid w:val="00477328"/>
    <w:rsid w:val="00495E3F"/>
    <w:rsid w:val="004A2009"/>
    <w:rsid w:val="004A565F"/>
    <w:rsid w:val="004A64FD"/>
    <w:rsid w:val="004A75E3"/>
    <w:rsid w:val="004B4513"/>
    <w:rsid w:val="004B956D"/>
    <w:rsid w:val="004C077C"/>
    <w:rsid w:val="004C3952"/>
    <w:rsid w:val="004D14E6"/>
    <w:rsid w:val="004D46AA"/>
    <w:rsid w:val="004D7D70"/>
    <w:rsid w:val="00520A79"/>
    <w:rsid w:val="0052336C"/>
    <w:rsid w:val="00525D3F"/>
    <w:rsid w:val="00530475"/>
    <w:rsid w:val="00541E0E"/>
    <w:rsid w:val="005504C7"/>
    <w:rsid w:val="00550765"/>
    <w:rsid w:val="005537D7"/>
    <w:rsid w:val="00556C14"/>
    <w:rsid w:val="00560296"/>
    <w:rsid w:val="00566BAE"/>
    <w:rsid w:val="00575A76"/>
    <w:rsid w:val="0059074E"/>
    <w:rsid w:val="005A4B7A"/>
    <w:rsid w:val="005A4E60"/>
    <w:rsid w:val="005B2EC0"/>
    <w:rsid w:val="005E3E17"/>
    <w:rsid w:val="005E4B46"/>
    <w:rsid w:val="005F1EFA"/>
    <w:rsid w:val="006057D4"/>
    <w:rsid w:val="0061197C"/>
    <w:rsid w:val="00631215"/>
    <w:rsid w:val="0063208B"/>
    <w:rsid w:val="00634762"/>
    <w:rsid w:val="006532BA"/>
    <w:rsid w:val="00656706"/>
    <w:rsid w:val="00660ADE"/>
    <w:rsid w:val="00664EBE"/>
    <w:rsid w:val="00676494"/>
    <w:rsid w:val="0068324C"/>
    <w:rsid w:val="0068479B"/>
    <w:rsid w:val="00684E4C"/>
    <w:rsid w:val="00690887"/>
    <w:rsid w:val="00694774"/>
    <w:rsid w:val="00695AE9"/>
    <w:rsid w:val="00696851"/>
    <w:rsid w:val="006C0BC7"/>
    <w:rsid w:val="006F2C84"/>
    <w:rsid w:val="0070176E"/>
    <w:rsid w:val="00722CD7"/>
    <w:rsid w:val="007237A4"/>
    <w:rsid w:val="0072461B"/>
    <w:rsid w:val="00740F86"/>
    <w:rsid w:val="00746E66"/>
    <w:rsid w:val="00750F7D"/>
    <w:rsid w:val="0075756A"/>
    <w:rsid w:val="00764713"/>
    <w:rsid w:val="00766A3D"/>
    <w:rsid w:val="00774EBC"/>
    <w:rsid w:val="00780912"/>
    <w:rsid w:val="00792557"/>
    <w:rsid w:val="00792C44"/>
    <w:rsid w:val="007A0271"/>
    <w:rsid w:val="007B102C"/>
    <w:rsid w:val="007B629E"/>
    <w:rsid w:val="007C24FD"/>
    <w:rsid w:val="007E5C64"/>
    <w:rsid w:val="007E6B35"/>
    <w:rsid w:val="007F04B9"/>
    <w:rsid w:val="008029DD"/>
    <w:rsid w:val="00815BE9"/>
    <w:rsid w:val="00816850"/>
    <w:rsid w:val="008268CC"/>
    <w:rsid w:val="00847440"/>
    <w:rsid w:val="00867D6D"/>
    <w:rsid w:val="008716E8"/>
    <w:rsid w:val="00872F58"/>
    <w:rsid w:val="00885896"/>
    <w:rsid w:val="00887FD1"/>
    <w:rsid w:val="0089398B"/>
    <w:rsid w:val="008945A6"/>
    <w:rsid w:val="008978B6"/>
    <w:rsid w:val="008A0497"/>
    <w:rsid w:val="008A7EEA"/>
    <w:rsid w:val="008B417C"/>
    <w:rsid w:val="008D0536"/>
    <w:rsid w:val="008D4B4B"/>
    <w:rsid w:val="008E2E17"/>
    <w:rsid w:val="009000B3"/>
    <w:rsid w:val="00905525"/>
    <w:rsid w:val="00910B05"/>
    <w:rsid w:val="00955767"/>
    <w:rsid w:val="009712B1"/>
    <w:rsid w:val="00973EFE"/>
    <w:rsid w:val="009A3AE7"/>
    <w:rsid w:val="009B1FA9"/>
    <w:rsid w:val="009C4177"/>
    <w:rsid w:val="009D5C7E"/>
    <w:rsid w:val="009E61C0"/>
    <w:rsid w:val="009F19EC"/>
    <w:rsid w:val="00A303C4"/>
    <w:rsid w:val="00A3216F"/>
    <w:rsid w:val="00A412FD"/>
    <w:rsid w:val="00A429B8"/>
    <w:rsid w:val="00A52993"/>
    <w:rsid w:val="00A843D5"/>
    <w:rsid w:val="00A93BA9"/>
    <w:rsid w:val="00A9587B"/>
    <w:rsid w:val="00AA650C"/>
    <w:rsid w:val="00AC328C"/>
    <w:rsid w:val="00AD2BC2"/>
    <w:rsid w:val="00AD3320"/>
    <w:rsid w:val="00AD414F"/>
    <w:rsid w:val="00AD77A6"/>
    <w:rsid w:val="00AE4BF6"/>
    <w:rsid w:val="00B04B5D"/>
    <w:rsid w:val="00B04DF0"/>
    <w:rsid w:val="00B07153"/>
    <w:rsid w:val="00B24DB0"/>
    <w:rsid w:val="00B45908"/>
    <w:rsid w:val="00B530BA"/>
    <w:rsid w:val="00B5417C"/>
    <w:rsid w:val="00B66B40"/>
    <w:rsid w:val="00B7321C"/>
    <w:rsid w:val="00B738CB"/>
    <w:rsid w:val="00B84330"/>
    <w:rsid w:val="00B851F5"/>
    <w:rsid w:val="00B932B5"/>
    <w:rsid w:val="00BA2CAC"/>
    <w:rsid w:val="00BA7B2A"/>
    <w:rsid w:val="00BB270C"/>
    <w:rsid w:val="00BB2B78"/>
    <w:rsid w:val="00BB5CF3"/>
    <w:rsid w:val="00BC15F5"/>
    <w:rsid w:val="00BC2E1C"/>
    <w:rsid w:val="00BC70AA"/>
    <w:rsid w:val="00BD68BE"/>
    <w:rsid w:val="00BE0DA6"/>
    <w:rsid w:val="00BE51DF"/>
    <w:rsid w:val="00C1263B"/>
    <w:rsid w:val="00C15468"/>
    <w:rsid w:val="00C264DE"/>
    <w:rsid w:val="00C42356"/>
    <w:rsid w:val="00C501D3"/>
    <w:rsid w:val="00C50C3C"/>
    <w:rsid w:val="00C52200"/>
    <w:rsid w:val="00C64712"/>
    <w:rsid w:val="00C650EC"/>
    <w:rsid w:val="00C815BF"/>
    <w:rsid w:val="00C82031"/>
    <w:rsid w:val="00CB3E70"/>
    <w:rsid w:val="00CB3F53"/>
    <w:rsid w:val="00CC0788"/>
    <w:rsid w:val="00CC3E3C"/>
    <w:rsid w:val="00CD575A"/>
    <w:rsid w:val="00CF157B"/>
    <w:rsid w:val="00CF483E"/>
    <w:rsid w:val="00D04DA4"/>
    <w:rsid w:val="00D04F4B"/>
    <w:rsid w:val="00D05A6A"/>
    <w:rsid w:val="00D13DB5"/>
    <w:rsid w:val="00D16857"/>
    <w:rsid w:val="00D40FB4"/>
    <w:rsid w:val="00D41FE2"/>
    <w:rsid w:val="00D50AE7"/>
    <w:rsid w:val="00D56CBC"/>
    <w:rsid w:val="00D647FF"/>
    <w:rsid w:val="00D6491A"/>
    <w:rsid w:val="00D64D5E"/>
    <w:rsid w:val="00D67484"/>
    <w:rsid w:val="00D86FA6"/>
    <w:rsid w:val="00DA0215"/>
    <w:rsid w:val="00DB0AD6"/>
    <w:rsid w:val="00DD366F"/>
    <w:rsid w:val="00DD673F"/>
    <w:rsid w:val="00DE30D7"/>
    <w:rsid w:val="00DE5BE0"/>
    <w:rsid w:val="00DF1A17"/>
    <w:rsid w:val="00DF22B8"/>
    <w:rsid w:val="00DF436D"/>
    <w:rsid w:val="00DF5258"/>
    <w:rsid w:val="00DF685E"/>
    <w:rsid w:val="00E25D19"/>
    <w:rsid w:val="00E33FD7"/>
    <w:rsid w:val="00E3661C"/>
    <w:rsid w:val="00E377A3"/>
    <w:rsid w:val="00E4019D"/>
    <w:rsid w:val="00E5259C"/>
    <w:rsid w:val="00E565D5"/>
    <w:rsid w:val="00E5795D"/>
    <w:rsid w:val="00E7344E"/>
    <w:rsid w:val="00E7544F"/>
    <w:rsid w:val="00EA2337"/>
    <w:rsid w:val="00EA4C4B"/>
    <w:rsid w:val="00EA6D4D"/>
    <w:rsid w:val="00EB35BE"/>
    <w:rsid w:val="00ED5115"/>
    <w:rsid w:val="00EE495C"/>
    <w:rsid w:val="00EE4A25"/>
    <w:rsid w:val="00F01DAA"/>
    <w:rsid w:val="00F06220"/>
    <w:rsid w:val="00F21E7A"/>
    <w:rsid w:val="00F37434"/>
    <w:rsid w:val="00F43E21"/>
    <w:rsid w:val="00F447F0"/>
    <w:rsid w:val="00F60948"/>
    <w:rsid w:val="00F63909"/>
    <w:rsid w:val="00F665D4"/>
    <w:rsid w:val="00F67C3B"/>
    <w:rsid w:val="00F67E48"/>
    <w:rsid w:val="00F74947"/>
    <w:rsid w:val="00F93CAF"/>
    <w:rsid w:val="00FA38AC"/>
    <w:rsid w:val="00FA4E07"/>
    <w:rsid w:val="00FA7539"/>
    <w:rsid w:val="00FB36BB"/>
    <w:rsid w:val="00FC3291"/>
    <w:rsid w:val="00FC555F"/>
    <w:rsid w:val="00FD3A7D"/>
    <w:rsid w:val="00FE1A7C"/>
    <w:rsid w:val="00FE444F"/>
    <w:rsid w:val="01E765CE"/>
    <w:rsid w:val="0A8DBF10"/>
    <w:rsid w:val="0AEEBEA9"/>
    <w:rsid w:val="128D6AC8"/>
    <w:rsid w:val="14293B29"/>
    <w:rsid w:val="2722C728"/>
    <w:rsid w:val="304EEA00"/>
    <w:rsid w:val="3C749D93"/>
    <w:rsid w:val="3E671871"/>
    <w:rsid w:val="448474D5"/>
    <w:rsid w:val="44BD3198"/>
    <w:rsid w:val="465901F9"/>
    <w:rsid w:val="52AA8EB6"/>
    <w:rsid w:val="562DE4FD"/>
    <w:rsid w:val="5B659B8F"/>
    <w:rsid w:val="5CE654CD"/>
    <w:rsid w:val="5F5B7CC4"/>
    <w:rsid w:val="68D6E1F1"/>
    <w:rsid w:val="6B05D971"/>
    <w:rsid w:val="72B12ED6"/>
    <w:rsid w:val="73EFAA34"/>
    <w:rsid w:val="7799A40E"/>
    <w:rsid w:val="7A38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2810289D"/>
  <w15:chartTrackingRefBased/>
  <w15:docId w15:val="{47317927-FEDC-4650-B25C-85C126C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0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FA6"/>
    <w:pPr>
      <w:keepNext/>
      <w:keepLines/>
      <w:pBdr>
        <w:top w:val="single" w:sz="8" w:space="1" w:color="4472C4" w:themeColor="accent1"/>
      </w:pBd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603"/>
  </w:style>
  <w:style w:type="paragraph" w:styleId="Footer">
    <w:name w:val="footer"/>
    <w:basedOn w:val="Normal"/>
    <w:link w:val="FooterChar"/>
    <w:uiPriority w:val="99"/>
    <w:unhideWhenUsed/>
    <w:rsid w:val="0023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03"/>
  </w:style>
  <w:style w:type="paragraph" w:styleId="BalloonText">
    <w:name w:val="Balloon Text"/>
    <w:basedOn w:val="Normal"/>
    <w:link w:val="BalloonTextChar"/>
    <w:uiPriority w:val="99"/>
    <w:semiHidden/>
    <w:unhideWhenUsed/>
    <w:rsid w:val="00D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0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1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344E"/>
    <w:pPr>
      <w:ind w:left="720"/>
      <w:contextualSpacing/>
    </w:pPr>
  </w:style>
  <w:style w:type="paragraph" w:styleId="Revision">
    <w:name w:val="Revision"/>
    <w:hidden/>
    <w:uiPriority w:val="99"/>
    <w:semiHidden/>
    <w:rsid w:val="002A5A19"/>
  </w:style>
  <w:style w:type="character" w:customStyle="1" w:styleId="Heading1Char">
    <w:name w:val="Heading 1 Char"/>
    <w:basedOn w:val="DefaultParagraphFont"/>
    <w:link w:val="Heading1"/>
    <w:uiPriority w:val="9"/>
    <w:rsid w:val="00D86FA6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tcs-consus\shared\Policy%20and%20Government%20Relations%20Team\Trujillo\Financial%20Aid\WISSIS%20Reports\WG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tcs-consus\shared\Policy%20and%20Government%20Relations%20Team\Trujillo\Financial%20Aid\WISSIS%20Reports\WG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Average Unmet Need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Differences!$U$1</c:f>
              <c:strCache>
                <c:ptCount val="1"/>
                <c:pt idx="0">
                  <c:v>WTCS Avg Unmet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Differences!$A$17:$A$27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  <c:extLst/>
            </c:strRef>
          </c:cat>
          <c:val>
            <c:numRef>
              <c:f>Differences!$U$17:$U$27</c:f>
              <c:numCache>
                <c:formatCode>_("$"* #,##0_);_("$"* \(#,##0\);_("$"* "-"??_);_(@_)</c:formatCode>
                <c:ptCount val="11"/>
                <c:pt idx="0">
                  <c:v>6122</c:v>
                </c:pt>
                <c:pt idx="1">
                  <c:v>6203</c:v>
                </c:pt>
                <c:pt idx="2">
                  <c:v>7395</c:v>
                </c:pt>
                <c:pt idx="3">
                  <c:v>7415</c:v>
                </c:pt>
                <c:pt idx="4">
                  <c:v>7207</c:v>
                </c:pt>
                <c:pt idx="5">
                  <c:v>8342</c:v>
                </c:pt>
                <c:pt idx="6">
                  <c:v>7458</c:v>
                </c:pt>
                <c:pt idx="7">
                  <c:v>7308</c:v>
                </c:pt>
                <c:pt idx="8">
                  <c:v>8103</c:v>
                </c:pt>
                <c:pt idx="9">
                  <c:v>8144</c:v>
                </c:pt>
                <c:pt idx="10">
                  <c:v>9005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F97-49A2-84C9-80CD46210C61}"/>
            </c:ext>
          </c:extLst>
        </c:ser>
        <c:ser>
          <c:idx val="1"/>
          <c:order val="1"/>
          <c:tx>
            <c:strRef>
              <c:f>Differences!$V$1</c:f>
              <c:strCache>
                <c:ptCount val="1"/>
                <c:pt idx="0">
                  <c:v>UW Avg Unmet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Differences!$A$17:$A$27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  <c:extLst/>
            </c:strRef>
          </c:cat>
          <c:val>
            <c:numRef>
              <c:f>Differences!$V$17:$V$27</c:f>
              <c:numCache>
                <c:formatCode>_("$"* #,##0_);_("$"* \(#,##0\);_("$"* "-"??_);_(@_)</c:formatCode>
                <c:ptCount val="11"/>
                <c:pt idx="0">
                  <c:v>5823</c:v>
                </c:pt>
                <c:pt idx="1">
                  <c:v>5061</c:v>
                </c:pt>
                <c:pt idx="2">
                  <c:v>4450</c:v>
                </c:pt>
                <c:pt idx="3">
                  <c:v>4381</c:v>
                </c:pt>
                <c:pt idx="4">
                  <c:v>4586</c:v>
                </c:pt>
                <c:pt idx="5">
                  <c:v>5357</c:v>
                </c:pt>
                <c:pt idx="6">
                  <c:v>5681</c:v>
                </c:pt>
                <c:pt idx="7">
                  <c:v>5767</c:v>
                </c:pt>
                <c:pt idx="8">
                  <c:v>5790</c:v>
                </c:pt>
                <c:pt idx="9">
                  <c:v>5948</c:v>
                </c:pt>
                <c:pt idx="10">
                  <c:v>5941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F97-49A2-84C9-80CD46210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943608"/>
        <c:axId val="329941640"/>
      </c:barChart>
      <c:catAx>
        <c:axId val="329943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941640"/>
        <c:crosses val="autoZero"/>
        <c:auto val="1"/>
        <c:lblAlgn val="ctr"/>
        <c:lblOffset val="100"/>
        <c:noMultiLvlLbl val="0"/>
      </c:catAx>
      <c:valAx>
        <c:axId val="32994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943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</a:t>
            </a:r>
            <a:r>
              <a:rPr lang="en-US" baseline="0"/>
              <a:t>Who Have the Highest Need and Qualify for a Maximum Grant Award</a:t>
            </a:r>
            <a:endParaRPr lang="en-US"/>
          </a:p>
        </c:rich>
      </c:tx>
      <c:layout>
        <c:manualLayout>
          <c:xMode val="edge"/>
          <c:yMode val="edge"/>
          <c:x val="0.14772876163016666"/>
          <c:y val="2.8122501913584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Charts!$F$1</c:f>
              <c:strCache>
                <c:ptCount val="1"/>
                <c:pt idx="0">
                  <c:v>WTCS %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Charts!$E$17:$E$27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  <c:extLst/>
            </c:strRef>
          </c:cat>
          <c:val>
            <c:numRef>
              <c:f>Charts!$F$17:$F$27</c:f>
              <c:numCache>
                <c:formatCode>0%</c:formatCode>
                <c:ptCount val="11"/>
                <c:pt idx="0">
                  <c:v>0.5454</c:v>
                </c:pt>
                <c:pt idx="1">
                  <c:v>0.55330000000000001</c:v>
                </c:pt>
                <c:pt idx="2">
                  <c:v>0.54669999999999996</c:v>
                </c:pt>
                <c:pt idx="3">
                  <c:v>0.5161</c:v>
                </c:pt>
                <c:pt idx="4">
                  <c:v>0.48670000000000002</c:v>
                </c:pt>
                <c:pt idx="5">
                  <c:v>0.49969999999999998</c:v>
                </c:pt>
                <c:pt idx="6">
                  <c:v>0.4909</c:v>
                </c:pt>
                <c:pt idx="7">
                  <c:v>0.48</c:v>
                </c:pt>
                <c:pt idx="8">
                  <c:v>0.47</c:v>
                </c:pt>
                <c:pt idx="9">
                  <c:v>0.47</c:v>
                </c:pt>
                <c:pt idx="10">
                  <c:v>0.48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EEF-4A9E-9181-C94527246478}"/>
            </c:ext>
          </c:extLst>
        </c:ser>
        <c:ser>
          <c:idx val="1"/>
          <c:order val="1"/>
          <c:tx>
            <c:strRef>
              <c:f>Charts!$G$1</c:f>
              <c:strCache>
                <c:ptCount val="1"/>
                <c:pt idx="0">
                  <c:v>UW %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Charts!$E$17:$E$27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  <c:extLst/>
            </c:strRef>
          </c:cat>
          <c:val>
            <c:numRef>
              <c:f>Charts!$G$17:$G$27</c:f>
              <c:numCache>
                <c:formatCode>0%</c:formatCode>
                <c:ptCount val="11"/>
                <c:pt idx="0">
                  <c:v>0.23319999999999999</c:v>
                </c:pt>
                <c:pt idx="1">
                  <c:v>0.23300000000000001</c:v>
                </c:pt>
                <c:pt idx="2">
                  <c:v>0.2273</c:v>
                </c:pt>
                <c:pt idx="3">
                  <c:v>0.2145</c:v>
                </c:pt>
                <c:pt idx="4">
                  <c:v>0.2208</c:v>
                </c:pt>
                <c:pt idx="5">
                  <c:v>0.2074</c:v>
                </c:pt>
                <c:pt idx="6">
                  <c:v>0.2</c:v>
                </c:pt>
                <c:pt idx="7">
                  <c:v>0.19</c:v>
                </c:pt>
                <c:pt idx="8">
                  <c:v>0.19</c:v>
                </c:pt>
                <c:pt idx="9">
                  <c:v>0.19</c:v>
                </c:pt>
                <c:pt idx="10">
                  <c:v>0.19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EEF-4A9E-9181-C94527246478}"/>
            </c:ext>
          </c:extLst>
        </c:ser>
        <c:ser>
          <c:idx val="2"/>
          <c:order val="2"/>
          <c:tx>
            <c:strRef>
              <c:f>Charts!$H$1</c:f>
              <c:strCache>
                <c:ptCount val="1"/>
                <c:pt idx="0">
                  <c:v>WAICU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Charts!$E$17:$E$27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  <c:extLst/>
            </c:strRef>
          </c:cat>
          <c:val>
            <c:numRef>
              <c:f>Charts!$H$17:$H$27</c:f>
              <c:numCache>
                <c:formatCode>0%</c:formatCode>
                <c:ptCount val="11"/>
                <c:pt idx="0">
                  <c:v>0.27850000000000003</c:v>
                </c:pt>
                <c:pt idx="1">
                  <c:v>0.2757</c:v>
                </c:pt>
                <c:pt idx="2">
                  <c:v>0.27410000000000001</c:v>
                </c:pt>
                <c:pt idx="3">
                  <c:v>0.27710000000000001</c:v>
                </c:pt>
                <c:pt idx="4">
                  <c:v>0.26650000000000001</c:v>
                </c:pt>
                <c:pt idx="5">
                  <c:v>0.27310000000000001</c:v>
                </c:pt>
                <c:pt idx="6">
                  <c:v>0.26690000000000003</c:v>
                </c:pt>
                <c:pt idx="7">
                  <c:v>0.25</c:v>
                </c:pt>
                <c:pt idx="8">
                  <c:v>0.25</c:v>
                </c:pt>
                <c:pt idx="9">
                  <c:v>0.25</c:v>
                </c:pt>
                <c:pt idx="10">
                  <c:v>0.24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EEF-4A9E-9181-C94527246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361800"/>
        <c:axId val="474362128"/>
      </c:barChart>
      <c:catAx>
        <c:axId val="47436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362128"/>
        <c:crosses val="autoZero"/>
        <c:auto val="1"/>
        <c:lblAlgn val="ctr"/>
        <c:lblOffset val="100"/>
        <c:noMultiLvlLbl val="0"/>
      </c:catAx>
      <c:valAx>
        <c:axId val="47436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36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FAE0F1D3DC0449B7E91ED78AEAF8F" ma:contentTypeVersion="6" ma:contentTypeDescription="Create a new document." ma:contentTypeScope="" ma:versionID="2409bfb1becdf085032610f4ac319f8d">
  <xsd:schema xmlns:xsd="http://www.w3.org/2001/XMLSchema" xmlns:xs="http://www.w3.org/2001/XMLSchema" xmlns:p="http://schemas.microsoft.com/office/2006/metadata/properties" xmlns:ns2="84a75cff-716b-4d04-9b36-84c6b00a1e13" xmlns:ns3="84cedef7-43c4-4f58-81dd-a5a652bebcb3" targetNamespace="http://schemas.microsoft.com/office/2006/metadata/properties" ma:root="true" ma:fieldsID="76ab3605bc9bd60c6d3d9a59cc28d637" ns2:_="" ns3:_="">
    <xsd:import namespace="84a75cff-716b-4d04-9b36-84c6b00a1e13"/>
    <xsd:import namespace="84cedef7-43c4-4f58-81dd-a5a652beb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5cff-716b-4d04-9b36-84c6b00a1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edef7-43c4-4f58-81dd-a5a652be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6E48F-5C3B-4D51-9E62-E0D9737F03F3}">
  <ds:schemaRefs>
    <ds:schemaRef ds:uri="84cedef7-43c4-4f58-81dd-a5a652bebcb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a75cff-716b-4d04-9b36-84c6b00a1e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EAAB2-9045-47C4-8401-74F4B7408E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97D21-20D2-4A4B-A4F3-80D893A5C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75cff-716b-4d04-9b36-84c6b00a1e13"/>
    <ds:schemaRef ds:uri="84cedef7-43c4-4f58-81dd-a5a652be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D4107-9A31-4C2E-802D-741E448E4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2025-27 HEAB Request</dc:title>
  <dc:subject/>
  <dc:creator>Trujillo, Brandon</dc:creator>
  <cp:keywords/>
  <dc:description/>
  <cp:lastModifiedBy>Trujillo, Brandon</cp:lastModifiedBy>
  <cp:revision>6</cp:revision>
  <cp:lastPrinted>2024-05-01T19:57:00Z</cp:lastPrinted>
  <dcterms:created xsi:type="dcterms:W3CDTF">2024-07-11T16:48:00Z</dcterms:created>
  <dcterms:modified xsi:type="dcterms:W3CDTF">2024-09-10T14:20:00Z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0x0101008C4FAE0F1D3DC0449B7E91ED78AEAF8F</vt:lpwstr>
  </property>
</Properties>
</file>